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Инженерная деятельность: введение в специальность. 11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Повторение, обобщение, систематизация и углубление знаний по физике и математике, приобретение устойчивых навыков решения физических и математических задач, что позволит подготовить учащихся к итоговому государственному экзамену по данным предметам.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основ программирования.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Программирование: Введение в структурный подход к программированию. Работа с </w:t>
      </w:r>
      <w:r>
        <w:rPr>
          <w:sz w:val="28"/>
          <w:szCs w:val="28"/>
        </w:rPr>
        <w:t xml:space="preserve">указателями. Работа с Массивами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Физика: Введ</w:t>
      </w:r>
      <w:r>
        <w:rPr>
          <w:sz w:val="28"/>
          <w:szCs w:val="28"/>
        </w:rPr>
        <w:t xml:space="preserve">ение в электронику. Радиосвязь.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Математика: Производная и интеграл, их применения в математическом моделировании. Дифференциальные уравнения и подходы к их решению. Основы теории вероятностей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30.04.2026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2026-02-27T12:47:00Z</dcterms:created>
  <dcterms:modified xsi:type="dcterms:W3CDTF">2026-03-03T08:09:41Z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