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firstLine="709"/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firstLine="709"/>
        <w:jc w:val="center"/>
      </w:pPr>
      <w:r>
        <w:t xml:space="preserve">Федеральное государственное бюджетное учреждение высшего образования </w:t>
      </w:r>
      <w:r/>
    </w:p>
    <w:p>
      <w:pPr>
        <w:ind w:firstLine="709"/>
        <w:jc w:val="center"/>
      </w:pPr>
      <w:r>
        <w:t xml:space="preserve">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</w:t>
      </w:r>
      <w:r>
        <w:t xml:space="preserve">довузовской</w:t>
      </w:r>
      <w:r>
        <w:t xml:space="preserve"> подготовки </w:t>
      </w:r>
      <w:r/>
    </w:p>
    <w:p>
      <w:pPr>
        <w:jc w:val="center"/>
      </w:pPr>
      <w:r/>
      <w:r/>
    </w:p>
    <w:p>
      <w:pPr>
        <w:ind w:firstLine="709"/>
        <w:jc w:val="center"/>
        <w:rPr>
          <w:b/>
        </w:rPr>
      </w:pPr>
      <w:r/>
      <w:bookmarkStart w:id="0" w:name="_GoBack"/>
      <w:r/>
      <w:bookmarkEnd w:id="0"/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КАЛЕНДАРНЫЙ УЧЕБНЫЙ ГРАФИК</w:t>
      </w:r>
      <w:r>
        <w:rPr>
          <w:b/>
        </w:rPr>
      </w:r>
      <w:r>
        <w:rPr>
          <w:b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  <w:highlight w:val="white"/>
          <w:u w:val="none"/>
        </w:rPr>
        <w:t xml:space="preserve">«</w:t>
      </w:r>
      <w:r>
        <w:rPr>
          <w:b/>
          <w:color w:val="000000"/>
          <w:sz w:val="28"/>
          <w:szCs w:val="28"/>
          <w:highlight w:val="white"/>
          <w:u w:val="none"/>
        </w:rPr>
        <w:t xml:space="preserve">Биолого-химический </w:t>
      </w:r>
      <w:r>
        <w:rPr>
          <w:b/>
          <w:color w:val="000000"/>
          <w:sz w:val="28"/>
          <w:szCs w:val="28"/>
          <w:highlight w:val="white"/>
          <w:u w:val="none"/>
        </w:rPr>
        <w:t xml:space="preserve">10 </w:t>
      </w:r>
      <w:r>
        <w:rPr>
          <w:b/>
          <w:color w:val="000000"/>
          <w:sz w:val="28"/>
          <w:szCs w:val="28"/>
          <w:highlight w:val="white"/>
          <w:u w:val="none"/>
        </w:rPr>
        <w:t xml:space="preserve">класс</w:t>
      </w:r>
      <w:r>
        <w:rPr>
          <w:b/>
          <w:sz w:val="28"/>
          <w:szCs w:val="28"/>
          <w:highlight w:val="white"/>
          <w:u w:val="none"/>
        </w:rPr>
        <w:t xml:space="preserve">»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</w:pPr>
      <w:r>
        <w:t xml:space="preserve">(90 </w:t>
      </w:r>
      <w:r>
        <w:t xml:space="preserve">час</w:t>
      </w:r>
      <w:r>
        <w:t xml:space="preserve">ов</w:t>
      </w:r>
      <w:r>
        <w:t xml:space="preserve">)</w:t>
      </w:r>
      <w:r/>
    </w:p>
    <w:p>
      <w:pPr>
        <w:jc w:val="center"/>
      </w:pPr>
      <w:r/>
      <w:r/>
    </w:p>
    <w:p>
      <w:pPr>
        <w:jc w:val="center"/>
      </w:pPr>
      <w:r>
        <w:t xml:space="preserve">Очная форма обучения </w:t>
      </w:r>
      <w:r/>
    </w:p>
    <w:p>
      <w:pPr>
        <w:jc w:val="center"/>
        <w:rPr>
          <w:color w:val="000000" w:themeColor="text1"/>
          <w:highlight w:val="none"/>
        </w:rPr>
      </w:pPr>
      <w:r>
        <w:t xml:space="preserve">Срок обучения: 15</w:t>
      </w:r>
      <w:r>
        <w:rPr>
          <w:color w:val="auto"/>
        </w:rPr>
        <w:t xml:space="preserve">.09.202</w:t>
      </w:r>
      <w:r>
        <w:rPr>
          <w:color w:val="auto"/>
        </w:rPr>
        <w:t xml:space="preserve">5</w:t>
      </w:r>
      <w:r>
        <w:rPr>
          <w:color w:val="auto"/>
        </w:rPr>
        <w:t xml:space="preserve"> г. –</w:t>
      </w:r>
      <w:r>
        <w:rPr>
          <w:color w:val="000000" w:themeColor="text1"/>
        </w:rPr>
        <w:t xml:space="preserve"> 30</w:t>
      </w:r>
      <w:r>
        <w:rPr>
          <w:color w:val="000000" w:themeColor="text1"/>
        </w:rPr>
        <w:t xml:space="preserve">.04.2026</w:t>
      </w:r>
      <w:r>
        <w:rPr>
          <w:color w:val="000000" w:themeColor="text1"/>
        </w:rPr>
        <w:t xml:space="preserve"> г.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29"/>
        <w:gridCol w:w="76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>
        <w:tblPrEx/>
        <w:trPr>
          <w:trHeight w:val="267"/>
        </w:trPr>
        <w:tc>
          <w:tcPr>
            <w:gridSpan w:val="5"/>
            <w:tcW w:w="37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 xml:space="preserve">Октябрь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</w:tc>
        <w:tc>
          <w:tcPr>
            <w:gridSpan w:val="4"/>
            <w:tcW w:w="29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 xml:space="preserve">Ноябрь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</w:tc>
        <w:tc>
          <w:tcPr>
            <w:gridSpan w:val="5"/>
            <w:tcW w:w="37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 xml:space="preserve">Декабрь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</w:tc>
      </w:tr>
      <w:tr>
        <w:tblPrEx/>
        <w:trPr/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29.09- 04.10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06.10- 11.10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13.10- 18.10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20.10- 25.10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6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27.10- 01.10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03.11 – 08.11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10.11 – 15.11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17.11 – 22.11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24.11 – 29.11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01.12 – 06.12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08.12 – 13.12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15.12- 20.12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22.12- 27.12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highlight w:val="none"/>
              </w:rPr>
            </w:r>
            <w:r>
              <w:rPr>
                <w:b/>
                <w:color w:val="auto"/>
                <w:sz w:val="22"/>
                <w:szCs w:val="22"/>
              </w:rPr>
              <w:t xml:space="preserve">29.12- 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3.01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4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6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6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7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8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9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10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11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12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</w:rPr>
              <w:t xml:space="preserve">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</w:rPr>
              <w:t xml:space="preserve">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6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</w:rPr>
              <w:t xml:space="preserve">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</w:rPr>
              <w:t xml:space="preserve">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</w:rPr>
              <w:t xml:space="preserve">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</w:rPr>
              <w:t xml:space="preserve">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</w:tbl>
    <w:p>
      <w:pPr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9"/>
      </w:tblGrid>
      <w:tr>
        <w:tblPrEx/>
        <w:trPr/>
        <w:tc>
          <w:tcPr>
            <w:gridSpan w:val="4"/>
            <w:tcW w:w="299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highlight w:val="none"/>
              </w:rPr>
              <w:t xml:space="preserve">Январь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224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Февраль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5.01 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- 10.01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12.01 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- 17.01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19.01 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- 24.01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26.01 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- 31.01</w: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2.02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7.02</w:t>
            </w: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9.02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14.02</w:t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16.02- 21.02</w:t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248"/>
        </w:trPr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13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14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15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16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17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ff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18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</w:tr>
      <w:tr>
        <w:tblPrEx/>
        <w:trPr/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В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t xml:space="preserve">5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ПЗ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ПЗ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ПЗ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ПЗ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jc w:val="center"/>
        <w:rPr>
          <w:color w:val="ff0000"/>
        </w:rPr>
      </w:pPr>
      <w:r>
        <w:rPr>
          <w:color w:val="ff0000"/>
          <w:highlight w:val="none"/>
        </w:rPr>
      </w:r>
      <w:r>
        <w:rPr>
          <w:color w:val="ff0000"/>
        </w:rPr>
      </w:r>
      <w:r>
        <w:rPr>
          <w:color w:val="ff000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16"/>
          <w:szCs w:val="16"/>
        </w:rPr>
      </w:pPr>
      <w:r/>
      <w:bookmarkStart w:id="1" w:name="_heading=h.gjdgxs"/>
      <w:r/>
      <w:bookmarkEnd w:id="1"/>
      <w:r>
        <w:rPr>
          <w:sz w:val="16"/>
          <w:szCs w:val="16"/>
        </w:rPr>
        <w:t xml:space="preserve">Л</w:t>
      </w:r>
      <w:r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лекции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ПЗ – практические занятия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В-выходной (праздничный) день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b/>
          <w:bCs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РАСПИСАНИЕ ЗАНЯТИЙ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8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1"/>
        <w:gridCol w:w="1752"/>
        <w:gridCol w:w="4268"/>
        <w:gridCol w:w="2473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День недели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Аудитория / Корпус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Преподаватель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Суббота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10.30 - 14.30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корпус Б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Осипенко, 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Турмухаметова Нина Валерьевна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</w:tbl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rPr>
          <w:b/>
          <w:bCs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1"/>
    <w:link w:val="825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31"/>
    <w:link w:val="826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831"/>
    <w:link w:val="827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831"/>
    <w:link w:val="828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831"/>
    <w:link w:val="829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831"/>
    <w:link w:val="830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24"/>
    <w:next w:val="824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31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24"/>
    <w:next w:val="824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31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24"/>
    <w:next w:val="824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31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24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31"/>
    <w:link w:val="835"/>
    <w:uiPriority w:val="10"/>
    <w:rPr>
      <w:sz w:val="48"/>
      <w:szCs w:val="48"/>
    </w:rPr>
  </w:style>
  <w:style w:type="character" w:styleId="670">
    <w:name w:val="Subtitle Char"/>
    <w:basedOn w:val="831"/>
    <w:link w:val="840"/>
    <w:uiPriority w:val="11"/>
    <w:rPr>
      <w:sz w:val="24"/>
      <w:szCs w:val="24"/>
    </w:rPr>
  </w:style>
  <w:style w:type="paragraph" w:styleId="671">
    <w:name w:val="Quote"/>
    <w:basedOn w:val="824"/>
    <w:next w:val="824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4"/>
    <w:next w:val="824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24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31"/>
    <w:link w:val="675"/>
    <w:uiPriority w:val="99"/>
  </w:style>
  <w:style w:type="paragraph" w:styleId="677">
    <w:name w:val="Footer"/>
    <w:basedOn w:val="824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31"/>
    <w:link w:val="677"/>
    <w:uiPriority w:val="99"/>
  </w:style>
  <w:style w:type="paragraph" w:styleId="679">
    <w:name w:val="Caption"/>
    <w:basedOn w:val="824"/>
    <w:next w:val="824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831"/>
    <w:link w:val="679"/>
    <w:uiPriority w:val="35"/>
    <w:rPr>
      <w:b/>
      <w:bCs/>
      <w:color w:val="4f81bd" w:themeColor="accent1"/>
      <w:sz w:val="18"/>
      <w:szCs w:val="18"/>
    </w:rPr>
  </w:style>
  <w:style w:type="table" w:styleId="681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31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31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paragraph" w:styleId="825">
    <w:name w:val="Heading 1"/>
    <w:basedOn w:val="824"/>
    <w:next w:val="82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26">
    <w:name w:val="Heading 2"/>
    <w:basedOn w:val="824"/>
    <w:next w:val="82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27">
    <w:name w:val="Heading 3"/>
    <w:basedOn w:val="824"/>
    <w:next w:val="82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28">
    <w:name w:val="Heading 4"/>
    <w:basedOn w:val="824"/>
    <w:next w:val="824"/>
    <w:pPr>
      <w:keepLines/>
      <w:keepNext/>
      <w:spacing w:before="240" w:after="40"/>
      <w:outlineLvl w:val="3"/>
    </w:pPr>
    <w:rPr>
      <w:b/>
    </w:rPr>
  </w:style>
  <w:style w:type="paragraph" w:styleId="829">
    <w:name w:val="Heading 5"/>
    <w:basedOn w:val="824"/>
    <w:next w:val="824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30">
    <w:name w:val="Heading 6"/>
    <w:basedOn w:val="824"/>
    <w:next w:val="82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5">
    <w:name w:val="Title"/>
    <w:basedOn w:val="824"/>
    <w:next w:val="824"/>
    <w:pPr>
      <w:keepLines/>
      <w:keepNext/>
      <w:spacing w:before="480" w:after="120"/>
    </w:pPr>
    <w:rPr>
      <w:b/>
      <w:sz w:val="72"/>
      <w:szCs w:val="72"/>
    </w:r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alloon Text"/>
    <w:basedOn w:val="824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1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9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Subtitle"/>
    <w:basedOn w:val="824"/>
    <w:next w:val="824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841" w:customStyle="1">
    <w:name w:val="StGen0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42" w:customStyle="1">
    <w:name w:val="StGen1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OH13OusxeZ/rhb+HB80/DL/Vw==">CgMxLjAyCGguZ2pkZ3hzOAByITFLRllqTm1GS2ZRdDNWRXNIbGE2bEdWRkxaM21GanJqNg==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13</cp:revision>
  <dcterms:created xsi:type="dcterms:W3CDTF">2024-09-08T18:11:00Z</dcterms:created>
  <dcterms:modified xsi:type="dcterms:W3CDTF">2026-03-02T15:09:31Z</dcterms:modified>
</cp:coreProperties>
</file>